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pPr>
      <w:r>
        <w:rPr>
          <w:rFonts w:ascii="Arial" w:cs="Arial" w:eastAsia="Arial" w:hAnsi="Arial"/>
        </w:rPr>
        <w:t xml:space="preserve">ACUERDO DE ADOPCIÓN DEL REGLAMENTO DE TESORERÍA Y PAGADURÍA</w:t>
      </w:r>
    </w:p>
    <w:p>
      <w:pPr>
        <w:spacing w:after="100" w:before="0"/>
        <w:jc w:val="center"/>
      </w:pPr>
      <w:r>
        <w:rPr>
          <w:rFonts w:ascii="Arial" w:cs="Arial" w:eastAsia="Arial" w:hAnsi="Arial"/>
          <w:b/>
          <w:bCs/>
          <w:sz w:val="24"/>
          <w:szCs w:val="24"/>
        </w:rPr>
        <w:t xml:space="preserve">ACUERDO No. ____ DE 2026</w:t>
      </w:r>
    </w:p>
    <w:p>
      <w:pPr>
        <w:spacing w:after="100" w:before="0"/>
        <w:jc w:val="center"/>
      </w:pPr>
      <w:r>
        <w:rPr>
          <w:rFonts w:ascii="Arial" w:cs="Arial" w:eastAsia="Arial" w:hAnsi="Arial"/>
          <w:sz w:val="21"/>
          <w:szCs w:val="21"/>
        </w:rPr>
        <w:t xml:space="preserve">(____ de ______________ de 2026)</w:t>
      </w:r>
    </w:p>
    <w:p>
      <w:pPr>
        <w:spacing w:after="200" w:before="0"/>
        <w:jc w:val="center"/>
      </w:pPr>
      <w:r>
        <w:rPr>
          <w:rFonts w:ascii="Arial" w:cs="Arial" w:eastAsia="Arial" w:hAnsi="Arial"/>
          <w:b/>
          <w:bCs/>
          <w:sz w:val="20"/>
          <w:szCs w:val="20"/>
        </w:rPr>
        <w:t xml:space="preserve">«POR MEDIO DEL CUAL SE ADOPTA EL REGLAMENTO INTERNO DE TESORERÍA Y PAGADURÍA DEL FONDO DE SERVICIOS EDUCATIVOS DE LA INSTITUCIÓN EDUCATIVA DEPARTAMENTAL CELINDA MEJÍA LÓPEZ»</w:t>
      </w:r>
    </w:p>
    <w:p>
      <w:pPr>
        <w:spacing w:after="120" w:before="0" w:line="276"/>
        <w:jc w:val="both"/>
      </w:pPr>
      <w:r>
        <w:rPr>
          <w:rFonts w:ascii="Arial" w:cs="Arial" w:eastAsia="Arial" w:hAnsi="Arial"/>
          <w:sz w:val="21"/>
          <w:szCs w:val="21"/>
        </w:rPr>
        <w:t xml:space="preserve">EL CONSEJO DIRECTIVO DE LA INSTITUCIÓN EDUCATIVA DEPARTAMENTAL CELINDA MEJÍA LÓPEZ, en ejercicio de sus atribuciones legales, en especial las conferidas por los artículos 11 a 14 de la Ley 715 de 2001 y los artículos 2.3.1.6.3.5, 2.3.1.6.3.15 y 2.3.1.6.3.16 del Decreto 1075 de 2015, y</w:t>
      </w:r>
    </w:p>
    <w:p>
      <w:pPr>
        <w:spacing w:after="100" w:before="120"/>
        <w:jc w:val="center"/>
      </w:pPr>
      <w:r>
        <w:rPr>
          <w:rFonts w:ascii="Arial" w:cs="Arial" w:eastAsia="Arial" w:hAnsi="Arial"/>
          <w:b/>
          <w:bCs/>
          <w:sz w:val="21"/>
          <w:szCs w:val="21"/>
        </w:rPr>
        <w:t xml:space="preserve">CONSIDERANDO:</w:t>
      </w:r>
    </w:p>
    <w:p>
      <w:pPr>
        <w:spacing w:after="120" w:before="0" w:line="276"/>
        <w:jc w:val="both"/>
      </w:pPr>
      <w:r>
        <w:rPr>
          <w:rFonts w:ascii="Arial" w:cs="Arial" w:eastAsia="Arial" w:hAnsi="Arial"/>
          <w:sz w:val="21"/>
          <w:szCs w:val="21"/>
        </w:rPr>
        <w:t xml:space="preserve">Que el artículo 2.3.1.6.3.15 del Decreto 1075 de 2015 dispone que los recursos del Fondo de Servicios Educativos se reciben y manejan en una cuenta especial a nombre del Fondo, en una entidad financiera vigilada por la Superintendencia Financiera, registrada en la tesorería de la entidad territorial certificada; que la función de tesorería o pagaduría no puede ser ejercida por personal docente o directivo docente; que debe estar amparada por póliza de manejo, y que el retiro de recursos requiere la concurrencia de al menos dos firmas, una de ellas la del rector en su calidad de ordenador del gasto.</w:t>
      </w:r>
    </w:p>
    <w:p>
      <w:pPr>
        <w:spacing w:after="120" w:before="0" w:line="276"/>
        <w:jc w:val="both"/>
      </w:pPr>
      <w:r>
        <w:rPr>
          <w:rFonts w:ascii="Arial" w:cs="Arial" w:eastAsia="Arial" w:hAnsi="Arial"/>
          <w:sz w:val="21"/>
          <w:szCs w:val="21"/>
        </w:rPr>
        <w:t xml:space="preserve">Que la Secretaría de Educación Departamental del Magdalena, en el Comunicado 058 del 23 de abril de 2024 y en la Resolución 823 del 17 de junio de 2026, transcribe la regla según la cual la póliza de manejo debe ser «equivalente por lo menos al valor de lo presupuestado en el año inmediatamente anterior».</w:t>
      </w:r>
    </w:p>
    <w:p>
      <w:pPr>
        <w:spacing w:after="120" w:before="0" w:line="276"/>
        <w:jc w:val="both"/>
      </w:pPr>
      <w:r>
        <w:rPr>
          <w:rFonts w:ascii="Arial" w:cs="Arial" w:eastAsia="Arial" w:hAnsi="Arial"/>
          <w:sz w:val="21"/>
          <w:szCs w:val="21"/>
        </w:rPr>
        <w:t xml:space="preserve">Que mediante la Resolución SED Magdalena No. 823 del 17 de junio de 2026 se asignaron las funciones de tesorería o pagaduría del Fondo de Servicios Educativos de la institución a la funcionaria Rosario Patricia García Barrios, Secretaria Ejecutiva código 425 grado 10, con funciones en presupuesto, contratación y pagaduría, para un total de ocho instituciones educativas de los municipios de Santa Ana y Santa Bárbara de Pinto.</w:t>
      </w:r>
    </w:p>
    <w:p>
      <w:pPr>
        <w:spacing w:after="120" w:before="0" w:line="276"/>
        <w:jc w:val="both"/>
      </w:pPr>
      <w:r>
        <w:rPr>
          <w:rFonts w:ascii="Arial" w:cs="Arial" w:eastAsia="Arial" w:hAnsi="Arial"/>
          <w:sz w:val="21"/>
          <w:szCs w:val="21"/>
        </w:rPr>
        <w:t xml:space="preserve">Que el artículo 2.3.1.6.3.16 del Decreto 1075 de 2015 ordena que la contabilidad del Fondo se lleve conforme a las normas expedidas por la Contaduría General de la Nación, y el artículo 2.3.1.6.3.19 impone deberes de publicidad y rendición de cuentas.</w:t>
      </w:r>
    </w:p>
    <w:p>
      <w:pPr>
        <w:spacing w:after="120" w:before="0" w:line="276"/>
        <w:jc w:val="both"/>
      </w:pPr>
      <w:r>
        <w:rPr>
          <w:rFonts w:ascii="Arial" w:cs="Arial" w:eastAsia="Arial" w:hAnsi="Arial"/>
          <w:sz w:val="21"/>
          <w:szCs w:val="21"/>
        </w:rPr>
        <w:t xml:space="preserve">Que corresponde al Consejo Directivo, dentro de sus competencias sobre la administración del Fondo, adoptar procedimientos internos que garanticen el control, la oportunidad y la trazabilidad de la gestión de tesorería, con sujeción a las políticas de control de la entidad territorial.</w:t>
      </w:r>
    </w:p>
    <w:p>
      <w:pPr>
        <w:spacing w:after="100" w:before="120"/>
        <w:jc w:val="center"/>
      </w:pPr>
      <w:r>
        <w:rPr>
          <w:rFonts w:ascii="Arial" w:cs="Arial" w:eastAsia="Arial" w:hAnsi="Arial"/>
          <w:b/>
          <w:bCs/>
          <w:sz w:val="21"/>
          <w:szCs w:val="21"/>
        </w:rPr>
        <w:t xml:space="preserve">ACUERDA:</w:t>
      </w:r>
    </w:p>
    <w:p>
      <w:pPr>
        <w:spacing w:after="120" w:before="120" w:line="276"/>
        <w:jc w:val="both"/>
      </w:pPr>
      <w:r>
        <w:rPr>
          <w:rFonts w:ascii="Arial" w:cs="Arial" w:eastAsia="Arial" w:hAnsi="Arial"/>
          <w:b/>
          <w:bCs/>
          <w:color w:val="17506A"/>
          <w:sz w:val="21"/>
          <w:szCs w:val="21"/>
        </w:rPr>
        <w:t xml:space="preserve">ARTÍCULO PRIMERO. ADOPCIÓN. </w:t>
      </w:r>
      <w:r>
        <w:rPr>
          <w:rFonts w:ascii="Arial" w:cs="Arial" w:eastAsia="Arial" w:hAnsi="Arial"/>
          <w:sz w:val="21"/>
          <w:szCs w:val="21"/>
        </w:rPr>
        <w:t xml:space="preserve">Adóptase el Reglamento Interno de Tesorería y Pagaduría del Fondo de Servicios Educativos, código DS-RTP-CML-2026-001 v1.0, contenido en el documento anexo, que forma parte integral del presente Acuerdo.</w:t>
      </w:r>
    </w:p>
    <w:p>
      <w:pPr>
        <w:spacing w:after="120" w:before="120" w:line="276"/>
        <w:jc w:val="both"/>
      </w:pPr>
      <w:r>
        <w:rPr>
          <w:rFonts w:ascii="Arial" w:cs="Arial" w:eastAsia="Arial" w:hAnsi="Arial"/>
          <w:b/>
          <w:bCs/>
          <w:color w:val="17506A"/>
          <w:sz w:val="21"/>
          <w:szCs w:val="21"/>
        </w:rPr>
        <w:t xml:space="preserve">ARTÍCULO SEGUNDO. SUJECIÓN. </w:t>
      </w:r>
      <w:r>
        <w:rPr>
          <w:rFonts w:ascii="Arial" w:cs="Arial" w:eastAsia="Arial" w:hAnsi="Arial"/>
          <w:sz w:val="21"/>
          <w:szCs w:val="21"/>
        </w:rPr>
        <w:t xml:space="preserve">El Reglamento se aplica con sujeción a la Resolución SED Magdalena No. 823 del 17 de junio de 2026, a las políticas de control de la Secretaría de Educación Departamental y a las normas presupuestales, contables y tributarias vigentes.</w:t>
      </w:r>
    </w:p>
    <w:p>
      <w:pPr>
        <w:spacing w:after="120" w:before="120" w:line="276"/>
        <w:jc w:val="both"/>
      </w:pPr>
      <w:r>
        <w:rPr>
          <w:rFonts w:ascii="Arial" w:cs="Arial" w:eastAsia="Arial" w:hAnsi="Arial"/>
          <w:b/>
          <w:bCs/>
          <w:color w:val="17506A"/>
          <w:sz w:val="21"/>
          <w:szCs w:val="21"/>
        </w:rPr>
        <w:t xml:space="preserve">ARTÍCULO TERCERO. ACTUALIZACIÓN. </w:t>
      </w:r>
      <w:r>
        <w:rPr>
          <w:rFonts w:ascii="Arial" w:cs="Arial" w:eastAsia="Arial" w:hAnsi="Arial"/>
          <w:sz w:val="21"/>
          <w:szCs w:val="21"/>
        </w:rPr>
        <w:t xml:space="preserve">Las modificaciones normativas, las políticas de control que fije la entidad territorial y los cambios en la designación de la tesorería-pagaduría se incorporarán conforme al artículo 37 del Reglamento, sin necesidad de nuevo acuerdo cuando no alteren las reglas adoptadas por este Consejo.</w:t>
      </w:r>
    </w:p>
    <w:p>
      <w:pPr>
        <w:spacing w:after="120" w:before="120" w:line="276"/>
        <w:jc w:val="both"/>
      </w:pPr>
      <w:r>
        <w:rPr>
          <w:rFonts w:ascii="Arial" w:cs="Arial" w:eastAsia="Arial" w:hAnsi="Arial"/>
          <w:b/>
          <w:bCs/>
          <w:color w:val="17506A"/>
          <w:sz w:val="21"/>
          <w:szCs w:val="21"/>
        </w:rPr>
        <w:t xml:space="preserve">ARTÍCULO CUARTO. COMUNICACIÓN. </w:t>
      </w:r>
      <w:r>
        <w:rPr>
          <w:rFonts w:ascii="Arial" w:cs="Arial" w:eastAsia="Arial" w:hAnsi="Arial"/>
          <w:sz w:val="21"/>
          <w:szCs w:val="21"/>
        </w:rPr>
        <w:t xml:space="preserve">Comuníquese el presente Acuerdo a la tesorera-pagadora y a la Secretaría de Educación Departamental del Magdalena.</w:t>
      </w:r>
    </w:p>
    <w:p>
      <w:pPr>
        <w:spacing w:after="120" w:before="120" w:line="276"/>
        <w:jc w:val="both"/>
      </w:pPr>
      <w:r>
        <w:rPr>
          <w:rFonts w:ascii="Arial" w:cs="Arial" w:eastAsia="Arial" w:hAnsi="Arial"/>
          <w:b/>
          <w:bCs/>
          <w:color w:val="17506A"/>
          <w:sz w:val="21"/>
          <w:szCs w:val="21"/>
        </w:rPr>
        <w:t xml:space="preserve">ARTÍCULO QUINTO. VIGENCIA. </w:t>
      </w:r>
      <w:r>
        <w:rPr>
          <w:rFonts w:ascii="Arial" w:cs="Arial" w:eastAsia="Arial" w:hAnsi="Arial"/>
          <w:sz w:val="21"/>
          <w:szCs w:val="21"/>
        </w:rPr>
        <w:t xml:space="preserve">El presente Acuerdo rige a partir de su expedición y publicación.</w:t>
      </w:r>
    </w:p>
    <w:p>
      <w:pPr>
        <w:spacing w:after="100" w:before="200"/>
        <w:jc w:val="center"/>
      </w:pPr>
      <w:r>
        <w:rPr>
          <w:rFonts w:ascii="Arial" w:cs="Arial" w:eastAsia="Arial" w:hAnsi="Arial"/>
          <w:b/>
          <w:bCs/>
          <w:sz w:val="21"/>
          <w:szCs w:val="21"/>
        </w:rPr>
        <w:t xml:space="preserve">COMUNÍQUESE, PUBLÍQUESE Y CÚMPLASE</w:t>
      </w:r>
    </w:p>
    <w:p>
      <w:pPr>
        <w:spacing w:after="120" w:before="0" w:line="276"/>
        <w:jc w:val="center"/>
      </w:pPr>
      <w:r>
        <w:rPr>
          <w:rFonts w:ascii="Arial" w:cs="Arial" w:eastAsia="Arial" w:hAnsi="Arial"/>
          <w:sz w:val="21"/>
          <w:szCs w:val="21"/>
        </w:rPr>
        <w:t xml:space="preserve">Dado en Barroblanco, municipio de Santa Ana (Magdalena), a los ____ días del mes de ______________ de 2026.</w:t>
      </w:r>
    </w:p>
    <w:tbl>
      <w:tblPr>
        <w:tblW w:type="dxa" w:w="8838"/>
        <w:tblBorders>
          <w:top w:val="single" w:color="auto" w:sz="4"/>
          <w:left w:val="single" w:color="auto" w:sz="4"/>
          <w:bottom w:val="single" w:color="auto" w:sz="4"/>
          <w:right w:val="single" w:color="auto" w:sz="4"/>
          <w:insideH w:val="single" w:color="auto" w:sz="4"/>
          <w:insideV w:val="single" w:color="auto" w:sz="4"/>
        </w:tblBorders>
      </w:tblPr>
      <w:tblGrid>
        <w:gridCol w:w="4419"/>
        <w:gridCol w:w="4419"/>
      </w:tblGrid>
      <w:tr>
        <w:trPr>
          <w:cantSplit/>
        </w:trPr>
        <w:tc>
          <w:tcPr>
            <w:tcW w:type="dxa" w:w="4419"/>
            <w:tcBorders>
              <w:top w:val="none" w:color="FFFFFF" w:sz="0"/>
              <w:left w:val="none" w:color="FFFFFF" w:sz="0"/>
              <w:bottom w:val="none" w:color="FFFFFF" w:sz="0"/>
              <w:right w:val="none" w:color="FFFFFF" w:sz="0"/>
            </w:tcBorders>
          </w:tcPr>
          <w:p>
            <w:pPr>
              <w:spacing w:before="480"/>
            </w:pPr>
            <w:r>
              <w:rPr>
                <w:rFonts w:ascii="Arial" w:cs="Arial" w:eastAsia="Arial" w:hAnsi="Arial"/>
              </w:rPr>
              <w:t xml:space="preserve"> </w:t>
            </w:r>
          </w:p>
          <w:p>
            <w:pPr>
              <w:jc w:val="center"/>
            </w:pPr>
            <w:r>
              <w:rPr>
                <w:rFonts w:ascii="Arial" w:cs="Arial" w:eastAsia="Arial" w:hAnsi="Arial"/>
                <w:sz w:val="20"/>
                <w:szCs w:val="20"/>
              </w:rPr>
              <w:t xml:space="preserve">_________________________________</w:t>
            </w:r>
          </w:p>
          <w:p>
            <w:pPr>
              <w:jc w:val="center"/>
            </w:pPr>
            <w:r>
              <w:rPr>
                <w:rFonts w:ascii="Arial" w:cs="Arial" w:eastAsia="Arial" w:hAnsi="Arial"/>
                <w:b/>
                <w:bCs/>
                <w:sz w:val="19"/>
                <w:szCs w:val="19"/>
              </w:rPr>
              <w:t xml:space="preserve">OMAR AGUSTÍN ARRIETA YÉPEZ</w:t>
            </w:r>
          </w:p>
          <w:p>
            <w:pPr>
              <w:spacing w:after="120"/>
              <w:jc w:val="center"/>
            </w:pPr>
            <w:r>
              <w:rPr>
                <w:rFonts w:ascii="Arial" w:cs="Arial" w:eastAsia="Arial" w:hAnsi="Arial"/>
                <w:color w:val="5A6B73"/>
                <w:sz w:val="17"/>
                <w:szCs w:val="17"/>
              </w:rPr>
              <w:t xml:space="preserve">Rector — Presidente del Consejo Directivo</w:t>
            </w:r>
          </w:p>
        </w:tc>
        <w:tc>
          <w:tcPr>
            <w:tcW w:type="dxa" w:w="4419"/>
            <w:tcBorders>
              <w:top w:val="none" w:color="FFFFFF" w:sz="0"/>
              <w:left w:val="none" w:color="FFFFFF" w:sz="0"/>
              <w:bottom w:val="none" w:color="FFFFFF" w:sz="0"/>
              <w:right w:val="none" w:color="FFFFFF" w:sz="0"/>
            </w:tcBorders>
          </w:tcPr>
          <w:p>
            <w:pPr>
              <w:spacing w:before="480"/>
            </w:pPr>
            <w:r>
              <w:rPr>
                <w:rFonts w:ascii="Arial" w:cs="Arial" w:eastAsia="Arial" w:hAnsi="Arial"/>
              </w:rPr>
              <w:t xml:space="preserve"> </w:t>
            </w:r>
          </w:p>
          <w:p>
            <w:pPr>
              <w:jc w:val="center"/>
            </w:pPr>
            <w:r>
              <w:rPr>
                <w:rFonts w:ascii="Arial" w:cs="Arial" w:eastAsia="Arial" w:hAnsi="Arial"/>
                <w:sz w:val="20"/>
                <w:szCs w:val="20"/>
              </w:rPr>
              <w:t xml:space="preserve">_________________________________</w:t>
            </w:r>
          </w:p>
          <w:p>
            <w:pPr>
              <w:jc w:val="center"/>
            </w:pPr>
            <w:r>
              <w:rPr>
                <w:rFonts w:ascii="Arial" w:cs="Arial" w:eastAsia="Arial" w:hAnsi="Arial"/>
                <w:b/>
                <w:bCs/>
                <w:sz w:val="19"/>
                <w:szCs w:val="19"/>
              </w:rPr>
              <w:t xml:space="preserve">[PENDIENTE]</w:t>
            </w:r>
          </w:p>
          <w:p>
            <w:pPr>
              <w:spacing w:after="120"/>
              <w:jc w:val="center"/>
            </w:pPr>
            <w:r>
              <w:rPr>
                <w:rFonts w:ascii="Arial" w:cs="Arial" w:eastAsia="Arial" w:hAnsi="Arial"/>
                <w:color w:val="5A6B73"/>
                <w:sz w:val="17"/>
                <w:szCs w:val="17"/>
              </w:rPr>
              <w:t xml:space="preserve">Secretario(a) del Consejo Directivo</w:t>
            </w:r>
          </w:p>
        </w:tc>
      </w:tr>
    </w:tbl>
    <w:sectPr>
      <w:headerReference w:type="default" r:id="rId6"/>
      <w:footerReference w:type="default" r:id="rId7"/>
      <w:pgSz w:w="12240" w:h="15840" w:orient="portrait"/>
      <w:pgMar w:top="2268" w:right="1701" w:bottom="1700" w:left="1701" w:header="500" w:footer="45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9D3DE" w:sz="6" w:space="1"/>
      </w:pBdr>
    </w:pPr>
  </w:p>
  <w:p>
    <w:pPr>
      <w:jc w:val="center"/>
    </w:pPr>
    <w:r>
      <w:rPr>
        <w:rFonts w:ascii="Arial" w:cs="Arial" w:eastAsia="Arial" w:hAnsi="Arial"/>
        <w:i/>
        <w:iCs/>
        <w:color w:val="3E8E4F"/>
        <w:sz w:val="16"/>
        <w:szCs w:val="16"/>
      </w:rPr>
      <w:t xml:space="preserve">Institución Educativa Departamental Celinda Mejía López, formando la niñez y juventud de Barroblanco — «Ciencia y Sabiduría»</w:t>
    </w:r>
  </w:p>
  <w:p>
    <w:pPr>
      <w:jc w:val="center"/>
    </w:pPr>
    <w:r>
      <w:rPr>
        <w:rFonts w:ascii="Arial" w:cs="Arial" w:eastAsia="Arial" w:hAnsi="Arial"/>
        <w:color w:val="5A6B73"/>
        <w:sz w:val="15"/>
        <w:szCs w:val="15"/>
      </w:rPr>
      <w:t xml:space="preserve">DS-ACU-RTP-CML-2026 · Página </w:t>
    </w:r>
    <w:r>
      <w:rPr>
        <w:rFonts w:ascii="Arial" w:cs="Arial" w:eastAsia="Arial" w:hAnsi="Arial"/>
        <w:color w:val="5A6B73"/>
        <w:sz w:val="15"/>
        <w:szCs w:val="15"/>
      </w:rPr>
      <w:fldChar w:fldCharType="begin"/>
      <w:instrText xml:space="preserve">PAGE</w:instrText>
      <w:fldChar w:fldCharType="separate"/>
      <w:fldChar w:fldCharType="end"/>
    </w:r>
    <w:r>
      <w:rPr>
        <w:rFonts w:ascii="Arial" w:cs="Arial" w:eastAsia="Arial" w:hAnsi="Arial"/>
        <w:color w:val="5A6B73"/>
        <w:sz w:val="15"/>
        <w:szCs w:val="15"/>
      </w:rPr>
      <w:t xml:space="preserve"> de </w:t>
    </w:r>
    <w:r>
      <w:rPr>
        <w:rFonts w:ascii="Arial" w:cs="Arial" w:eastAsia="Arial" w:hAnsi="Arial"/>
        <w:color w:val="5A6B73"/>
        <w:sz w:val="15"/>
        <w:szCs w:val="15"/>
      </w:rPr>
      <w:fldChar w:fldCharType="begin"/>
      <w:instrText xml:space="preserve">NUMPAGES</w:instrText>
      <w:fldChar w:fldCharType="separate"/>
      <w:fldChar w:fldCharType="end"/>
    </w:r>
  </w:p>
  <w:p>
    <w:pPr>
      <w:jc w:val="center"/>
    </w:pPr>
    <w:r>
      <w:rPr>
        <w:rFonts w:ascii="Arial" w:cs="Arial" w:eastAsia="Arial" w:hAnsi="Arial"/>
        <w:color w:val="5A6B73"/>
        <w:sz w:val="13"/>
        <w:szCs w:val="13"/>
      </w:rPr>
      <w:t xml:space="preserve">Asistencia técnica y metodología CCCCVD 2026: Grupo Corporativo DataService S.A.S. BIC · www.dataservice.com.co · gerencia@dataservice.com.co · +57 311 272 6182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4629150">
          <wp:simplePos x="0" y="0"/>
          <wp:positionH relativeFrom="page">
            <wp:align>center</wp:align>
          </wp:positionH>
          <wp:positionV relativeFrom="page">
            <wp:align>center</wp:align>
          </wp:positionV>
          <wp:extent cx="4095750" cy="4629150"/>
          <wp:effectExtent t="0" r="0" b="0" l="0"/>
          <wp:wrapNone/>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4095750" cy="4629150"/>
                  </a:xfrm>
                  <a:prstGeom prst="rect">
                    <a:avLst/>
                  </a:prstGeom>
                </pic:spPr>
              </pic:pic>
            </a:graphicData>
          </a:graphic>
        </wp:anchor>
      </w:drawing>
    </w:r>
  </w:p>
  <w:tbl>
    <w:tblPr>
      <w:tblW w:type="dxa" w:w="8838"/>
      <w:tblBorders>
        <w:top w:val="single" w:color="auto" w:sz="4"/>
        <w:left w:val="single" w:color="auto" w:sz="4"/>
        <w:bottom w:val="single" w:color="auto" w:sz="4"/>
        <w:right w:val="single" w:color="auto" w:sz="4"/>
        <w:insideH w:val="single" w:color="auto" w:sz="4"/>
        <w:insideV w:val="single" w:color="auto" w:sz="4"/>
      </w:tblBorders>
    </w:tblPr>
    <w:tblGrid>
      <w:gridCol w:w="1400"/>
      <w:gridCol w:w="6038"/>
      <w:gridCol w:w="1400"/>
    </w:tblGrid>
    <w:tr>
      <w:tc>
        <w:tcPr>
          <w:tcW w:type="dxa" w:w="1400"/>
          <w:tcBorders>
            <w:top w:val="none" w:color="FFFFFF" w:sz="0"/>
            <w:left w:val="none" w:color="FFFFFF" w:sz="0"/>
            <w:bottom w:val="none" w:color="FFFFFF" w:sz="0"/>
            <w:right w:val="none" w:color="FFFFFF" w:sz="0"/>
          </w:tcBorders>
          <w:vAlign w:val="center"/>
        </w:tcPr>
        <w:p>
          <w:pPr>
            <w:jc w:val="center"/>
          </w:pPr>
          <w:r>
            <w:drawing>
              <wp:inline distT="0" distB="0" distL="0" distR="0">
                <wp:extent cx="666750" cy="752475"/>
                <wp:effectExtent t="0" r="0" b="0" l="0"/>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666750" cy="752475"/>
                        </a:xfrm>
                        <a:prstGeom prst="rect">
                          <a:avLst/>
                        </a:prstGeom>
                      </pic:spPr>
                    </pic:pic>
                  </a:graphicData>
                </a:graphic>
              </wp:inline>
            </w:drawing>
          </w:r>
        </w:p>
      </w:tc>
      <w:tc>
        <w:tcPr>
          <w:tcW w:type="dxa" w:w="6038"/>
          <w:tcBorders>
            <w:top w:val="none" w:color="FFFFFF" w:sz="0"/>
            <w:left w:val="none" w:color="FFFFFF" w:sz="0"/>
            <w:bottom w:val="none" w:color="FFFFFF" w:sz="0"/>
            <w:right w:val="none" w:color="FFFFFF" w:sz="0"/>
          </w:tcBorders>
          <w:vAlign w:val="center"/>
        </w:tcPr>
        <w:p>
          <w:pPr>
            <w:spacing w:after="0"/>
            <w:jc w:val="center"/>
          </w:pPr>
          <w:r>
            <w:rPr>
              <w:rFonts w:ascii="Arial" w:cs="Arial" w:eastAsia="Arial" w:hAnsi="Arial"/>
              <w:b/>
              <w:bCs/>
              <w:color w:val="5A6B73"/>
              <w:sz w:val="15"/>
              <w:szCs w:val="15"/>
            </w:rPr>
            <w:t xml:space="preserve">REPÚBLICA DE COLOMBIA · DEPARTAMENTO DEL MAGDALENA</w:t>
          </w:r>
        </w:p>
        <w:p>
          <w:pPr>
            <w:spacing w:after="0"/>
            <w:jc w:val="center"/>
          </w:pPr>
          <w:r>
            <w:rPr>
              <w:rFonts w:ascii="Arial" w:cs="Arial" w:eastAsia="Arial" w:hAnsi="Arial"/>
              <w:b/>
              <w:bCs/>
              <w:color w:val="1E3A46"/>
              <w:sz w:val="18"/>
              <w:szCs w:val="18"/>
            </w:rPr>
            <w:t xml:space="preserve">INSTITUCIÓN EDUCATIVA DEPARTAMENTAL</w:t>
          </w:r>
        </w:p>
        <w:p>
          <w:pPr>
            <w:spacing w:after="0"/>
            <w:jc w:val="center"/>
          </w:pPr>
          <w:r>
            <w:rPr>
              <w:rFonts w:ascii="Arial" w:cs="Arial" w:eastAsia="Arial" w:hAnsi="Arial"/>
              <w:b/>
              <w:bCs/>
              <w:color w:val="3E8E4F"/>
              <w:sz w:val="24"/>
              <w:szCs w:val="24"/>
            </w:rPr>
            <w:t xml:space="preserve">CELINDA MEJÍA LÓPEZ</w:t>
          </w:r>
        </w:p>
        <w:p>
          <w:pPr>
            <w:spacing w:after="0"/>
            <w:jc w:val="center"/>
          </w:pPr>
          <w:r>
            <w:rPr>
              <w:rFonts w:ascii="Arial" w:cs="Arial" w:eastAsia="Arial" w:hAnsi="Arial"/>
              <w:b/>
              <w:bCs/>
              <w:color w:val="1E3A46"/>
              <w:sz w:val="15"/>
              <w:szCs w:val="15"/>
            </w:rPr>
            <w:t xml:space="preserve">NIT: 819.005.763-5 · DANE: 247707000053</w:t>
          </w:r>
        </w:p>
        <w:p>
          <w:pPr>
            <w:spacing w:after="0"/>
            <w:jc w:val="center"/>
          </w:pPr>
          <w:r>
            <w:rPr>
              <w:rFonts w:ascii="Arial" w:cs="Arial" w:eastAsia="Arial" w:hAnsi="Arial"/>
              <w:b w:val="false"/>
              <w:bCs w:val="false"/>
              <w:color w:val="1E3A46"/>
              <w:sz w:val="14"/>
              <w:szCs w:val="14"/>
            </w:rPr>
            <w:t xml:space="preserve">Resolución de aprobación 0350 del 6 de marzo de 2024</w:t>
          </w:r>
        </w:p>
        <w:p>
          <w:pPr>
            <w:spacing w:after="0"/>
            <w:jc w:val="center"/>
          </w:pPr>
          <w:r>
            <w:rPr>
              <w:rFonts w:ascii="Arial" w:cs="Arial" w:eastAsia="Arial" w:hAnsi="Arial"/>
              <w:b w:val="false"/>
              <w:bCs w:val="false"/>
              <w:color w:val="1E3A46"/>
              <w:sz w:val="14"/>
              <w:szCs w:val="14"/>
            </w:rPr>
            <w:t xml:space="preserve">Barroblanco — Santa Ana, Magdalena · Cel.: 310 614 1470</w:t>
          </w:r>
        </w:p>
      </w:tc>
      <w:tc>
        <w:tcPr>
          <w:tcW w:type="dxa" w:w="1400"/>
          <w:tcBorders>
            <w:top w:val="none" w:color="FFFFFF" w:sz="0"/>
            <w:left w:val="none" w:color="FFFFFF" w:sz="0"/>
            <w:bottom w:val="none" w:color="FFFFFF" w:sz="0"/>
            <w:right w:val="none" w:color="FFFFFF" w:sz="0"/>
          </w:tcBorders>
          <w:vAlign w:val="center"/>
        </w:tcPr>
        <w:p>
          <w:pPr>
            <w:jc w:val="center"/>
          </w:pPr>
          <w:r>
            <w:drawing>
              <wp:inline distT="0" distB="0" distL="0" distR="0">
                <wp:extent cx="590550" cy="628650"/>
                <wp:effectExtent t="0" r="0" b="0" l="0"/>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590550" cy="628650"/>
                        </a:xfrm>
                        <a:prstGeom prst="rect">
                          <a:avLst/>
                        </a:prstGeom>
                      </pic:spPr>
                    </pic:pic>
                  </a:graphicData>
                </a:graphic>
              </wp:inline>
            </w:drawing>
          </w:r>
        </w:p>
      </w:tc>
    </w:tr>
  </w:tbl>
  <w:p>
    <w:pPr>
      <w:pBdr>
        <w:bottom w:val="single" w:color="3E8E4F" w:sz="12" w:space="1"/>
      </w:pBdr>
      <w:spacing w:after="0"/>
    </w:pPr>
  </w:p>
  <w:p>
    <w:pPr>
      <w:pBdr>
        <w:top w:val="single" w:color="7FB9D3" w:sz="6" w:space="1"/>
      </w:pBdr>
      <w:spacing w:after="8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67" w:hanging="283"/>
      </w:pPr>
    </w:lvl>
    <w:lvl w:ilvl="1" w:tentative="1">
      <w:start w:val="1"/>
      <w:numFmt w:val="bullet"/>
      <w:lvlText w:val="–"/>
      <w:lvlJc w:val="left"/>
      <w:pPr>
        <w:ind w:left="1000" w:hanging="283"/>
      </w:pPr>
    </w:lvl>
  </w:abstractNum>
  <w:abstractNum w:abstractNumId="3" w15:restartNumberingAfterBreak="0">
    <w:multiLevelType w:val="hybridMultilevel"/>
    <w:lvl w:ilvl="0" w:tentative="1">
      <w:start w:val="1"/>
      <w:numFmt w:val="decimal"/>
      <w:lvlText w:val="%1."/>
      <w:lvlJc w:val="left"/>
      <w:pPr>
        <w:ind w:left="567" w:hanging="340"/>
      </w:pPr>
    </w:lvl>
  </w:abstractNum>
  <w:abstractNum w:abstractNumId="4" w15:restartNumberingAfterBreak="0">
    <w:multiLevelType w:val="hybridMultilevel"/>
    <w:lvl w:ilvl="0" w:tentative="1">
      <w:start w:val="1"/>
      <w:numFmt w:val="decimal"/>
      <w:lvlText w:val="%1."/>
      <w:lvlJc w:val="left"/>
      <w:pPr>
        <w:ind w:left="567" w:hanging="340"/>
      </w:pPr>
    </w:lvl>
  </w:abstractNum>
  <w:abstractNum w:abstractNumId="5" w15:restartNumberingAfterBreak="0">
    <w:multiLevelType w:val="hybridMultilevel"/>
    <w:lvl w:ilvl="0" w:tentative="1">
      <w:start w:val="1"/>
      <w:numFmt w:val="decimal"/>
      <w:lvlText w:val="%1."/>
      <w:lvlJc w:val="left"/>
      <w:pPr>
        <w:ind w:left="567" w:hanging="340"/>
      </w:pPr>
    </w:lvl>
  </w:abstractNum>
  <w:abstractNum w:abstractNumId="6" w15:restartNumberingAfterBreak="0">
    <w:multiLevelType w:val="hybridMultilevel"/>
    <w:lvl w:ilvl="0" w:tentative="1">
      <w:start w:val="1"/>
      <w:numFmt w:val="decimal"/>
      <w:lvlText w:val="%1."/>
      <w:lvlJc w:val="left"/>
      <w:pPr>
        <w:ind w:left="567" w:hanging="340"/>
      </w:pPr>
    </w:lvl>
  </w:abstractNum>
  <w:abstractNum w:abstractNumId="7" w15:restartNumberingAfterBreak="0">
    <w:multiLevelType w:val="hybridMultilevel"/>
    <w:lvl w:ilvl="0" w:tentative="1">
      <w:start w:val="1"/>
      <w:numFmt w:val="decimal"/>
      <w:lvlText w:val="%1."/>
      <w:lvlJc w:val="left"/>
      <w:pPr>
        <w:ind w:left="567" w:hanging="340"/>
      </w:pPr>
    </w:lvl>
  </w:abstractNum>
  <w:abstractNum w:abstractNumId="8" w15:restartNumberingAfterBreak="0">
    <w:multiLevelType w:val="hybridMultilevel"/>
    <w:lvl w:ilvl="0" w:tentative="1">
      <w:start w:val="1"/>
      <w:numFmt w:val="decimal"/>
      <w:lvlText w:val="%1."/>
      <w:lvlJc w:val="left"/>
      <w:pPr>
        <w:ind w:left="567" w:hanging="340"/>
      </w:pPr>
    </w:lvl>
  </w:abstractNum>
  <w:abstractNum w:abstractNumId="9" w15:restartNumberingAfterBreak="0">
    <w:multiLevelType w:val="hybridMultilevel"/>
    <w:lvl w:ilvl="0" w:tentative="1">
      <w:start w:val="1"/>
      <w:numFmt w:val="decimal"/>
      <w:lvlText w:val="%1."/>
      <w:lvlJc w:val="left"/>
      <w:pPr>
        <w:ind w:left="567" w:hanging="340"/>
      </w:pPr>
    </w:lvl>
  </w:abstractNum>
  <w:abstractNum w:abstractNumId="10" w15:restartNumberingAfterBreak="0">
    <w:multiLevelType w:val="hybridMultilevel"/>
    <w:lvl w:ilvl="0" w:tentative="1">
      <w:start w:val="1"/>
      <w:numFmt w:val="decimal"/>
      <w:lvlText w:val="%1."/>
      <w:lvlJc w:val="left"/>
      <w:pPr>
        <w:ind w:left="567" w:hanging="340"/>
      </w:pPr>
    </w:lvl>
  </w:abstractNum>
  <w:abstractNum w:abstractNumId="11" w15:restartNumberingAfterBreak="0">
    <w:multiLevelType w:val="hybridMultilevel"/>
    <w:lvl w:ilvl="0" w:tentative="1">
      <w:start w:val="1"/>
      <w:numFmt w:val="decimal"/>
      <w:lvlText w:val="%1."/>
      <w:lvlJc w:val="left"/>
      <w:pPr>
        <w:ind w:left="567" w:hanging="340"/>
      </w:pPr>
    </w:lvl>
  </w:abstractNum>
  <w:abstractNum w:abstractNumId="12" w15:restartNumberingAfterBreak="0">
    <w:multiLevelType w:val="hybridMultilevel"/>
    <w:lvl w:ilvl="0" w:tentative="1">
      <w:start w:val="1"/>
      <w:numFmt w:val="decimal"/>
      <w:lvlText w:val="%1."/>
      <w:lvlJc w:val="left"/>
      <w:pPr>
        <w:ind w:left="567" w:hanging="340"/>
      </w:pPr>
    </w:lvl>
  </w:abstractNum>
  <w:abstractNum w:abstractNumId="13" w15:restartNumberingAfterBreak="0">
    <w:multiLevelType w:val="hybridMultilevel"/>
    <w:lvl w:ilvl="0" w:tentative="1">
      <w:start w:val="1"/>
      <w:numFmt w:val="decimal"/>
      <w:lvlText w:val="%1."/>
      <w:lvlJc w:val="left"/>
      <w:pPr>
        <w:ind w:left="567" w:hanging="340"/>
      </w:pPr>
    </w:lvl>
  </w:abstractNum>
  <w:abstractNum w:abstractNumId="14" w15:restartNumberingAfterBreak="0">
    <w:multiLevelType w:val="hybridMultilevel"/>
    <w:lvl w:ilvl="0" w:tentative="1">
      <w:start w:val="1"/>
      <w:numFmt w:val="decimal"/>
      <w:lvlText w:val="%1."/>
      <w:lvlJc w:val="left"/>
      <w:pPr>
        <w:ind w:left="567" w:hanging="340"/>
      </w:pPr>
    </w:lvl>
  </w:abstractNum>
  <w:abstractNum w:abstractNumId="15" w15:restartNumberingAfterBreak="0">
    <w:multiLevelType w:val="hybridMultilevel"/>
    <w:lvl w:ilvl="0" w:tentative="1">
      <w:start w:val="1"/>
      <w:numFmt w:val="decimal"/>
      <w:lvlText w:val="%1."/>
      <w:lvlJc w:val="left"/>
      <w:pPr>
        <w:ind w:left="567" w:hanging="340"/>
      </w:pPr>
    </w:lvl>
  </w:abstractNum>
  <w:abstractNum w:abstractNumId="16" w15:restartNumberingAfterBreak="0">
    <w:multiLevelType w:val="hybridMultilevel"/>
    <w:lvl w:ilvl="0" w:tentative="1">
      <w:start w:val="1"/>
      <w:numFmt w:val="decimal"/>
      <w:lvlText w:val="%1."/>
      <w:lvlJc w:val="left"/>
      <w:pPr>
        <w:ind w:left="567" w:hanging="340"/>
      </w:pPr>
    </w:lvl>
  </w:abstractNum>
  <w:abstractNum w:abstractNumId="17" w15:restartNumberingAfterBreak="0">
    <w:multiLevelType w:val="hybridMultilevel"/>
    <w:lvl w:ilvl="0" w:tentative="1">
      <w:start w:val="1"/>
      <w:numFmt w:val="decimal"/>
      <w:lvlText w:val="%1."/>
      <w:lvlJc w:val="left"/>
      <w:pPr>
        <w:ind w:left="567" w:hanging="340"/>
      </w:pPr>
    </w:lvl>
  </w:abstractNum>
  <w:abstractNum w:abstractNumId="18" w15:restartNumberingAfterBreak="0">
    <w:multiLevelType w:val="hybridMultilevel"/>
    <w:lvl w:ilvl="0" w:tentative="1">
      <w:start w:val="1"/>
      <w:numFmt w:val="decimal"/>
      <w:lvlText w:val="%1."/>
      <w:lvlJc w:val="left"/>
      <w:pPr>
        <w:ind w:left="567" w:hanging="340"/>
      </w:pPr>
    </w:lvl>
  </w:abstractNum>
  <w:abstractNum w:abstractNumId="19" w15:restartNumberingAfterBreak="0">
    <w:multiLevelType w:val="hybridMultilevel"/>
    <w:lvl w:ilvl="0" w:tentative="1">
      <w:start w:val="1"/>
      <w:numFmt w:val="decimal"/>
      <w:lvlText w:val="%1."/>
      <w:lvlJc w:val="left"/>
      <w:pPr>
        <w:ind w:left="567" w:hanging="340"/>
      </w:pPr>
    </w:lvl>
  </w:abstractNum>
  <w:abstractNum w:abstractNumId="20" w15:restartNumberingAfterBreak="0">
    <w:multiLevelType w:val="hybridMultilevel"/>
    <w:lvl w:ilvl="0" w:tentative="1">
      <w:start w:val="1"/>
      <w:numFmt w:val="decimal"/>
      <w:lvlText w:val="%1."/>
      <w:lvlJc w:val="left"/>
      <w:pPr>
        <w:ind w:left="567" w:hanging="340"/>
      </w:pPr>
    </w:lvl>
  </w:abstractNum>
  <w:abstractNum w:abstractNumId="21" w15:restartNumberingAfterBreak="0">
    <w:multiLevelType w:val="hybridMultilevel"/>
    <w:lvl w:ilvl="0" w:tentative="1">
      <w:start w:val="1"/>
      <w:numFmt w:val="decimal"/>
      <w:lvlText w:val="%1."/>
      <w:lvlJc w:val="left"/>
      <w:pPr>
        <w:ind w:left="567" w:hanging="340"/>
      </w:pPr>
    </w:lvl>
  </w:abstractNum>
  <w:abstractNum w:abstractNumId="22" w15:restartNumberingAfterBreak="0">
    <w:multiLevelType w:val="hybridMultilevel"/>
    <w:lvl w:ilvl="0" w:tentative="1">
      <w:start w:val="1"/>
      <w:numFmt w:val="decimal"/>
      <w:lvlText w:val="%1."/>
      <w:lvlJc w:val="left"/>
      <w:pPr>
        <w:ind w:left="567" w:hanging="340"/>
      </w:pPr>
    </w:lvl>
  </w:abstractNum>
  <w:abstractNum w:abstractNumId="23" w15:restartNumberingAfterBreak="0">
    <w:multiLevelType w:val="hybridMultilevel"/>
    <w:lvl w:ilvl="0" w:tentative="1">
      <w:start w:val="1"/>
      <w:numFmt w:val="decimal"/>
      <w:lvlText w:val="%1."/>
      <w:lvlJc w:val="left"/>
      <w:pPr>
        <w:ind w:left="567" w:hanging="340"/>
      </w:pPr>
    </w:lvl>
  </w:abstractNum>
  <w:abstractNum w:abstractNumId="24" w15:restartNumberingAfterBreak="0">
    <w:multiLevelType w:val="hybridMultilevel"/>
    <w:lvl w:ilvl="0" w:tentative="1">
      <w:start w:val="1"/>
      <w:numFmt w:val="decimal"/>
      <w:lvlText w:val="%1."/>
      <w:lvlJc w:val="left"/>
      <w:pPr>
        <w:ind w:left="567" w:hanging="340"/>
      </w:pPr>
    </w:lvl>
  </w:abstractNum>
  <w:abstractNum w:abstractNumId="25" w15:restartNumberingAfterBreak="0">
    <w:multiLevelType w:val="hybridMultilevel"/>
    <w:lvl w:ilvl="0" w:tentative="1">
      <w:start w:val="1"/>
      <w:numFmt w:val="decimal"/>
      <w:lvlText w:val="%1."/>
      <w:lvlJc w:val="left"/>
      <w:pPr>
        <w:ind w:left="567" w:hanging="340"/>
      </w:pPr>
    </w:lvl>
  </w:abstractNum>
  <w:abstractNum w:abstractNumId="26" w15:restartNumberingAfterBreak="0">
    <w:multiLevelType w:val="hybridMultilevel"/>
    <w:lvl w:ilvl="0" w:tentative="1">
      <w:start w:val="1"/>
      <w:numFmt w:val="decimal"/>
      <w:lvlText w:val="%1."/>
      <w:lvlJc w:val="left"/>
      <w:pPr>
        <w:ind w:left="567" w:hanging="340"/>
      </w:pPr>
    </w:lvl>
  </w:abstractNum>
  <w:abstractNum w:abstractNumId="27" w15:restartNumberingAfterBreak="0">
    <w:multiLevelType w:val="hybridMultilevel"/>
    <w:lvl w:ilvl="0" w:tentative="1">
      <w:start w:val="1"/>
      <w:numFmt w:val="decimal"/>
      <w:lvlText w:val="%1."/>
      <w:lvlJc w:val="left"/>
      <w:pPr>
        <w:ind w:left="567" w:hanging="340"/>
      </w:pPr>
    </w:lvl>
  </w:abstractNum>
  <w:abstractNum w:abstractNumId="28" w15:restartNumberingAfterBreak="0">
    <w:multiLevelType w:val="hybridMultilevel"/>
    <w:lvl w:ilvl="0" w:tentative="1">
      <w:start w:val="1"/>
      <w:numFmt w:val="decimal"/>
      <w:lvlText w:val="%1."/>
      <w:lvlJc w:val="left"/>
      <w:pPr>
        <w:ind w:left="567" w:hanging="340"/>
      </w:pPr>
    </w:lvl>
  </w:abstractNum>
  <w:abstractNum w:abstractNumId="29" w15:restartNumberingAfterBreak="0">
    <w:multiLevelType w:val="hybridMultilevel"/>
    <w:lvl w:ilvl="0" w:tentative="1">
      <w:start w:val="1"/>
      <w:numFmt w:val="decimal"/>
      <w:lvlText w:val="%1."/>
      <w:lvlJc w:val="left"/>
      <w:pPr>
        <w:ind w:left="567" w:hanging="340"/>
      </w:pPr>
    </w:lvl>
  </w:abstractNum>
  <w:abstractNum w:abstractNumId="30" w15:restartNumberingAfterBreak="0">
    <w:multiLevelType w:val="hybridMultilevel"/>
    <w:lvl w:ilvl="0" w:tentative="1">
      <w:start w:val="1"/>
      <w:numFmt w:val="decimal"/>
      <w:lvlText w:val="%1."/>
      <w:lvlJc w:val="left"/>
      <w:pPr>
        <w:ind w:left="567" w:hanging="340"/>
      </w:pPr>
    </w:lvl>
  </w:abstractNum>
  <w:abstractNum w:abstractNumId="31" w15:restartNumberingAfterBreak="0">
    <w:multiLevelType w:val="hybridMultilevel"/>
    <w:lvl w:ilvl="0" w:tentative="1">
      <w:start w:val="1"/>
      <w:numFmt w:val="decimal"/>
      <w:lvlText w:val="%1."/>
      <w:lvlJc w:val="left"/>
      <w:pPr>
        <w:ind w:left="567" w:hanging="340"/>
      </w:pPr>
    </w:lvl>
  </w:abstractNum>
  <w:abstractNum w:abstractNumId="32" w15:restartNumberingAfterBreak="0">
    <w:multiLevelType w:val="hybridMultilevel"/>
    <w:lvl w:ilvl="0" w:tentative="1">
      <w:start w:val="1"/>
      <w:numFmt w:val="decimal"/>
      <w:lvlText w:val="%1."/>
      <w:lvlJc w:val="left"/>
      <w:pPr>
        <w:ind w:left="567" w:hanging="340"/>
      </w:pPr>
    </w:lvl>
  </w:abstractNum>
  <w:abstractNum w:abstractNumId="33" w15:restartNumberingAfterBreak="0">
    <w:multiLevelType w:val="hybridMultilevel"/>
    <w:lvl w:ilvl="0" w:tentative="1">
      <w:start w:val="1"/>
      <w:numFmt w:val="decimal"/>
      <w:lvlText w:val="%1."/>
      <w:lvlJc w:val="left"/>
      <w:pPr>
        <w:ind w:left="567" w:hanging="34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3E8E4F" w:sz="6" w:space="2"/>
      </w:pBdr>
      <w:spacing w:after="140" w:before="280"/>
      <w:outlineLvl w:val="0"/>
    </w:pPr>
    <w:rPr>
      <w:rFonts w:ascii="Arial" w:cs="Arial" w:eastAsia="Arial" w:hAnsi="Arial"/>
      <w:b/>
      <w:bCs/>
      <w:color w:val="17506A"/>
      <w:sz w:val="26"/>
      <w:szCs w:val="26"/>
    </w:rPr>
  </w:style>
  <w:style w:type="paragraph" w:styleId="Heading2">
    <w:name w:val="Heading 2"/>
    <w:basedOn w:val="Normal"/>
    <w:next w:val="Normal"/>
    <w:qFormat/>
    <w:pPr>
      <w:spacing w:after="100" w:before="220"/>
      <w:outlineLvl w:val="1"/>
    </w:pPr>
    <w:rPr>
      <w:rFonts w:ascii="Arial" w:cs="Arial" w:eastAsia="Arial" w:hAnsi="Arial"/>
      <w:b/>
      <w:bCs/>
      <w:color w:val="3E8E4F"/>
      <w:sz w:val="23"/>
      <w:szCs w:val="23"/>
    </w:rPr>
  </w:style>
  <w:style w:type="paragraph" w:styleId="Heading3">
    <w:name w:val="Heading 3"/>
    <w:basedOn w:val="Normal"/>
    <w:next w:val="Normal"/>
    <w:qFormat/>
    <w:pPr>
      <w:spacing w:after="80" w:before="160"/>
      <w:outlineLvl w:val="2"/>
    </w:pPr>
    <w:rPr>
      <w:rFonts w:ascii="Arial" w:cs="Arial" w:eastAsia="Arial" w:hAnsi="Arial"/>
      <w:b/>
      <w:bCs/>
      <w:color w:val="1F6E8C"/>
      <w:sz w:val="21"/>
      <w:szCs w:val="21"/>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cf6af18606d4fadb1750d0ba8dba927b37814b53.png"/><Relationship Id="rId1" Type="http://schemas.openxmlformats.org/officeDocument/2006/relationships/image" Target="media/72afa6f69139e66bcddd99902969bfd09f7a0889.png"/><Relationship Id="rId2" Type="http://schemas.openxmlformats.org/officeDocument/2006/relationships/image" Target="media/eae5f21447e56f06bfe21acd1e04c570db5d3ccf.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Reglamento de Tesorería y Pagaduría FSE — IED Celinda Mejía López</dc:title>
  <dc:creator>Grupo Corporativo DataService S.A.S. BIC — Sergio Andrés Escobar Morales</dc:creator>
  <dc:description>DS-ACU-RTP-CML-2026</dc:description>
  <cp:lastModifiedBy>Un-named</cp:lastModifiedBy>
  <cp:revision>1</cp:revision>
  <dcterms:created xsi:type="dcterms:W3CDTF">2026-10-27T14:35:03.840Z</dcterms:created>
  <dcterms:modified xsi:type="dcterms:W3CDTF">2026-10-27T14:35:03.841Z</dcterms:modified>
</cp:coreProperties>
</file>

<file path=docProps/custom.xml><?xml version="1.0" encoding="utf-8"?>
<Properties xmlns="http://schemas.openxmlformats.org/officeDocument/2006/custom-properties" xmlns:vt="http://schemas.openxmlformats.org/officeDocument/2006/docPropsVTypes"/>
</file>